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0D" w:rsidRDefault="0041660D" w:rsidP="0041660D">
      <w:pPr>
        <w:rPr>
          <w:b/>
          <w:u w:val="single"/>
        </w:rPr>
      </w:pPr>
      <w:bookmarkStart w:id="0" w:name="_GoBack"/>
      <w:bookmarkEnd w:id="0"/>
      <w:r w:rsidRPr="00D061F4">
        <w:rPr>
          <w:b/>
          <w:noProof/>
          <w:u w:val="single"/>
        </w:rPr>
        <w:drawing>
          <wp:inline distT="0" distB="0" distL="0" distR="0">
            <wp:extent cx="5391150" cy="361950"/>
            <wp:effectExtent l="19050" t="0" r="0" b="0"/>
            <wp:docPr id="2" name="Picture 1" descr="Humboldt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boldt State Universit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90" w:rsidRPr="007117A3" w:rsidRDefault="0041660D">
      <w:pPr>
        <w:rPr>
          <w:b/>
          <w:bCs/>
          <w:iCs/>
          <w:sz w:val="28"/>
          <w:szCs w:val="28"/>
          <w:u w:val="single"/>
        </w:rPr>
      </w:pPr>
      <w:r w:rsidRPr="007117A3">
        <w:rPr>
          <w:b/>
          <w:bCs/>
          <w:iCs/>
          <w:sz w:val="28"/>
          <w:szCs w:val="28"/>
          <w:u w:val="single"/>
        </w:rPr>
        <w:t>Petty Cash</w:t>
      </w:r>
      <w:r w:rsidR="00963262" w:rsidRPr="007117A3">
        <w:rPr>
          <w:b/>
          <w:bCs/>
          <w:iCs/>
          <w:sz w:val="28"/>
          <w:szCs w:val="28"/>
          <w:u w:val="single"/>
        </w:rPr>
        <w:t xml:space="preserve"> </w:t>
      </w:r>
      <w:r w:rsidR="00820A1B" w:rsidRPr="007117A3">
        <w:rPr>
          <w:b/>
          <w:bCs/>
          <w:iCs/>
          <w:sz w:val="28"/>
          <w:szCs w:val="28"/>
          <w:u w:val="single"/>
        </w:rPr>
        <w:t xml:space="preserve">and Change Fund </w:t>
      </w:r>
      <w:r w:rsidR="00963262" w:rsidRPr="007117A3">
        <w:rPr>
          <w:b/>
          <w:bCs/>
          <w:iCs/>
          <w:sz w:val="28"/>
          <w:szCs w:val="28"/>
          <w:u w:val="single"/>
        </w:rPr>
        <w:t>Procedures</w:t>
      </w:r>
    </w:p>
    <w:p w:rsidR="00D159FC" w:rsidRPr="00D159FC" w:rsidRDefault="00F96E46" w:rsidP="00211FCC">
      <w:pPr>
        <w:pStyle w:val="NormalWeb"/>
        <w:rPr>
          <w:rFonts w:asciiTheme="minorHAnsi" w:eastAsiaTheme="minorHAnsi" w:hAnsiTheme="minorHAnsi" w:cstheme="minorBidi"/>
          <w:bCs/>
          <w:iCs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iCs/>
          <w:sz w:val="22"/>
          <w:szCs w:val="22"/>
        </w:rPr>
        <w:t>When possible employees should utilize the normal procurement process as outlined in the</w:t>
      </w:r>
      <w:r w:rsidRPr="00F96E46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 </w:t>
      </w:r>
      <w:r w:rsidR="008D6A26">
        <w:rPr>
          <w:rFonts w:asciiTheme="minorHAnsi" w:eastAsiaTheme="minorHAnsi" w:hAnsiTheme="minorHAnsi" w:cstheme="minorBidi"/>
          <w:bCs/>
          <w:iCs/>
          <w:sz w:val="22"/>
          <w:szCs w:val="22"/>
        </w:rPr>
        <w:t>Purchasing and Payment Methods</w:t>
      </w:r>
      <w:r w:rsidR="00F64C25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 which can be found </w:t>
      </w:r>
      <w:r w:rsidR="008D6A26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at </w:t>
      </w:r>
      <w:hyperlink r:id="rId10" w:history="1">
        <w:r w:rsidR="008D6A26" w:rsidRPr="00A064B3">
          <w:rPr>
            <w:rStyle w:val="Hyperlink"/>
            <w:rFonts w:asciiTheme="minorHAnsi" w:eastAsiaTheme="minorHAnsi" w:hAnsiTheme="minorHAnsi" w:cstheme="minorBidi"/>
            <w:bCs/>
            <w:iCs/>
            <w:sz w:val="22"/>
            <w:szCs w:val="22"/>
          </w:rPr>
          <w:t>https://procurement.humboldt.edu/purchasing-payment-methods</w:t>
        </w:r>
      </w:hyperlink>
      <w:r w:rsidR="008D6A26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including using</w:t>
      </w:r>
      <w:r w:rsidR="00184D82">
        <w:rPr>
          <w:rFonts w:ascii="Calibri" w:hAnsi="Calibri"/>
          <w:sz w:val="22"/>
          <w:szCs w:val="22"/>
        </w:rPr>
        <w:t xml:space="preserve"> the</w:t>
      </w:r>
      <w:r>
        <w:rPr>
          <w:rFonts w:ascii="Calibri" w:hAnsi="Calibri"/>
          <w:sz w:val="22"/>
          <w:szCs w:val="22"/>
        </w:rPr>
        <w:t xml:space="preserve"> </w:t>
      </w:r>
      <w:r w:rsidR="00184D82" w:rsidRPr="00211FCC">
        <w:rPr>
          <w:rFonts w:ascii="Calibri" w:hAnsi="Calibri"/>
          <w:sz w:val="22"/>
          <w:szCs w:val="22"/>
        </w:rPr>
        <w:t>Procurement Credit Card Program</w:t>
      </w:r>
      <w:r w:rsidR="00184D82" w:rsidRPr="00184D82">
        <w:rPr>
          <w:rFonts w:ascii="Calibri" w:hAnsi="Calibri"/>
          <w:sz w:val="22"/>
          <w:szCs w:val="22"/>
        </w:rPr>
        <w:t xml:space="preserve"> </w:t>
      </w:r>
      <w:r w:rsidR="00184D82">
        <w:rPr>
          <w:rFonts w:ascii="Calibri" w:hAnsi="Calibri"/>
          <w:sz w:val="22"/>
          <w:szCs w:val="22"/>
        </w:rPr>
        <w:t xml:space="preserve">and </w:t>
      </w:r>
      <w:r w:rsidR="00211FCC">
        <w:rPr>
          <w:rFonts w:ascii="Calibri" w:hAnsi="Calibri"/>
          <w:sz w:val="22"/>
          <w:szCs w:val="22"/>
        </w:rPr>
        <w:t>Staples</w:t>
      </w:r>
      <w:r w:rsidR="00184D82">
        <w:rPr>
          <w:rFonts w:ascii="Calibri" w:hAnsi="Calibri"/>
          <w:sz w:val="22"/>
          <w:szCs w:val="22"/>
        </w:rPr>
        <w:t xml:space="preserve"> for supplies. </w:t>
      </w:r>
      <w:r w:rsidRPr="00F96E46">
        <w:rPr>
          <w:rFonts w:ascii="Calibri" w:eastAsiaTheme="minorHAnsi" w:hAnsi="Calibri" w:cstheme="minorBidi"/>
          <w:bCs/>
          <w:iCs/>
          <w:sz w:val="22"/>
          <w:szCs w:val="22"/>
        </w:rPr>
        <w:t xml:space="preserve"> </w:t>
      </w:r>
      <w:r w:rsidR="00D159FC" w:rsidRPr="00D159FC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When it is not practical to use the University procurement process a University employee, after proper documentation and approval, may be reimbursed for business-related expenses incurred and paid from the employee’s personal funds. </w:t>
      </w:r>
      <w:r w:rsidR="00D159FC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  The procedures </w:t>
      </w:r>
      <w:r w:rsidR="00E85517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below </w:t>
      </w:r>
      <w:r w:rsidR="00D159FC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must be </w:t>
      </w:r>
      <w:r w:rsidR="00E85517">
        <w:rPr>
          <w:rFonts w:asciiTheme="minorHAnsi" w:eastAsiaTheme="minorHAnsi" w:hAnsiTheme="minorHAnsi" w:cstheme="minorBidi"/>
          <w:bCs/>
          <w:iCs/>
          <w:sz w:val="22"/>
          <w:szCs w:val="22"/>
        </w:rPr>
        <w:t>followed.</w:t>
      </w:r>
      <w:r w:rsidR="00D159FC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  </w:t>
      </w:r>
    </w:p>
    <w:p w:rsidR="00963262" w:rsidRDefault="00963262" w:rsidP="00A1066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iCs/>
          <w:sz w:val="22"/>
          <w:szCs w:val="22"/>
          <w:u w:val="single"/>
        </w:rPr>
      </w:pPr>
      <w:r w:rsidRPr="00963262">
        <w:rPr>
          <w:rFonts w:asciiTheme="minorHAnsi" w:eastAsiaTheme="minorHAnsi" w:hAnsiTheme="minorHAnsi" w:cstheme="minorBidi"/>
          <w:b/>
          <w:bCs/>
          <w:iCs/>
          <w:sz w:val="22"/>
          <w:szCs w:val="22"/>
          <w:u w:val="single"/>
        </w:rPr>
        <w:t>Petty</w:t>
      </w:r>
      <w:r w:rsidR="00635B60">
        <w:rPr>
          <w:rFonts w:asciiTheme="minorHAnsi" w:eastAsiaTheme="minorHAnsi" w:hAnsiTheme="minorHAnsi" w:cstheme="minorBidi"/>
          <w:b/>
          <w:bCs/>
          <w:iCs/>
          <w:sz w:val="22"/>
          <w:szCs w:val="22"/>
          <w:u w:val="single"/>
        </w:rPr>
        <w:t xml:space="preserve"> Cash Reimbursements</w:t>
      </w:r>
      <w:r w:rsidR="00E85517">
        <w:rPr>
          <w:rFonts w:asciiTheme="minorHAnsi" w:eastAsiaTheme="minorHAnsi" w:hAnsiTheme="minorHAnsi" w:cstheme="minorBidi"/>
          <w:b/>
          <w:bCs/>
          <w:iCs/>
          <w:sz w:val="22"/>
          <w:szCs w:val="22"/>
          <w:u w:val="single"/>
        </w:rPr>
        <w:t xml:space="preserve"> </w:t>
      </w:r>
    </w:p>
    <w:p w:rsidR="00963262" w:rsidRPr="00963262" w:rsidRDefault="00D159FC" w:rsidP="00A1066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Cs/>
          <w:iCs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A </w:t>
      </w:r>
      <w:r w:rsidR="00963262" w:rsidRPr="00963262">
        <w:rPr>
          <w:rFonts w:asciiTheme="minorHAnsi" w:eastAsiaTheme="minorHAnsi" w:hAnsiTheme="minorHAnsi" w:cstheme="minorBidi"/>
          <w:bCs/>
          <w:iCs/>
          <w:sz w:val="22"/>
          <w:szCs w:val="22"/>
        </w:rPr>
        <w:t>University employee may be reimbursed for out-of-pocket expenses incurred during the day-to-day operation of the University department</w:t>
      </w:r>
      <w:r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 provided that:</w:t>
      </w:r>
    </w:p>
    <w:p w:rsidR="00963262" w:rsidRPr="00963262" w:rsidRDefault="00963262" w:rsidP="00963262">
      <w:pPr>
        <w:pStyle w:val="NormalWeb"/>
        <w:ind w:left="1440"/>
        <w:rPr>
          <w:rFonts w:asciiTheme="minorHAnsi" w:eastAsiaTheme="minorHAnsi" w:hAnsiTheme="minorHAnsi" w:cstheme="minorBidi"/>
          <w:bCs/>
          <w:iCs/>
          <w:sz w:val="22"/>
          <w:szCs w:val="22"/>
        </w:rPr>
      </w:pPr>
      <w:r w:rsidRPr="00963262">
        <w:rPr>
          <w:rFonts w:asciiTheme="minorHAnsi" w:eastAsiaTheme="minorHAnsi" w:hAnsiTheme="minorHAnsi" w:cstheme="minorBidi"/>
          <w:bCs/>
          <w:iCs/>
          <w:sz w:val="22"/>
          <w:szCs w:val="22"/>
        </w:rPr>
        <w:t>1. The maximum limit, per day, is $50.00 per vendor, excluding tax. </w:t>
      </w:r>
    </w:p>
    <w:p w:rsidR="00963262" w:rsidRPr="00963262" w:rsidRDefault="00963262" w:rsidP="00C060ED">
      <w:pPr>
        <w:pStyle w:val="NormalWeb"/>
        <w:ind w:left="1440"/>
        <w:rPr>
          <w:rFonts w:asciiTheme="minorHAnsi" w:eastAsiaTheme="minorHAnsi" w:hAnsiTheme="minorHAnsi" w:cstheme="minorBidi"/>
          <w:bCs/>
          <w:iCs/>
          <w:sz w:val="22"/>
          <w:szCs w:val="22"/>
        </w:rPr>
      </w:pPr>
      <w:r w:rsidRPr="00963262">
        <w:rPr>
          <w:rFonts w:asciiTheme="minorHAnsi" w:eastAsiaTheme="minorHAnsi" w:hAnsiTheme="minorHAnsi" w:cstheme="minorBidi"/>
          <w:bCs/>
          <w:iCs/>
          <w:sz w:val="22"/>
          <w:szCs w:val="22"/>
        </w:rPr>
        <w:t>2. Receipts</w:t>
      </w:r>
      <w:r w:rsidR="00885590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 with name of vendor</w:t>
      </w:r>
      <w:r w:rsidRPr="00963262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 </w:t>
      </w:r>
      <w:r w:rsidR="00C060ED">
        <w:rPr>
          <w:rFonts w:asciiTheme="minorHAnsi" w:eastAsiaTheme="minorHAnsi" w:hAnsiTheme="minorHAnsi" w:cstheme="minorBidi"/>
          <w:bCs/>
          <w:iCs/>
          <w:sz w:val="22"/>
          <w:szCs w:val="22"/>
        </w:rPr>
        <w:t>or payee</w:t>
      </w:r>
      <w:r w:rsidR="00211FCC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 and the amount paid</w:t>
      </w:r>
      <w:r w:rsidRPr="00963262">
        <w:rPr>
          <w:rFonts w:asciiTheme="minorHAnsi" w:eastAsiaTheme="minorHAnsi" w:hAnsiTheme="minorHAnsi" w:cstheme="minorBidi"/>
          <w:bCs/>
          <w:iCs/>
          <w:sz w:val="22"/>
          <w:szCs w:val="22"/>
        </w:rPr>
        <w:t>. </w:t>
      </w:r>
    </w:p>
    <w:p w:rsidR="00963262" w:rsidRDefault="00963262" w:rsidP="00963262">
      <w:pPr>
        <w:pStyle w:val="NormalWeb"/>
        <w:ind w:left="1440"/>
      </w:pPr>
      <w:r w:rsidRPr="00963262">
        <w:rPr>
          <w:rFonts w:asciiTheme="minorHAnsi" w:eastAsiaTheme="minorHAnsi" w:hAnsiTheme="minorHAnsi" w:cstheme="minorBidi"/>
          <w:bCs/>
          <w:iCs/>
          <w:sz w:val="22"/>
          <w:szCs w:val="22"/>
        </w:rPr>
        <w:t>3. Original receipt must be attached to a P</w:t>
      </w:r>
      <w:r w:rsidR="00C060ED">
        <w:rPr>
          <w:rFonts w:asciiTheme="minorHAnsi" w:eastAsiaTheme="minorHAnsi" w:hAnsiTheme="minorHAnsi" w:cstheme="minorBidi"/>
          <w:bCs/>
          <w:iCs/>
          <w:sz w:val="22"/>
          <w:szCs w:val="22"/>
        </w:rPr>
        <w:t>ayment Request Form</w:t>
      </w:r>
      <w:r w:rsidRPr="00963262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 and submitted to </w:t>
      </w:r>
      <w:r w:rsidR="0091499E">
        <w:rPr>
          <w:rFonts w:asciiTheme="minorHAnsi" w:eastAsiaTheme="minorHAnsi" w:hAnsiTheme="minorHAnsi" w:cstheme="minorBidi"/>
          <w:bCs/>
          <w:iCs/>
          <w:sz w:val="22"/>
          <w:szCs w:val="22"/>
        </w:rPr>
        <w:t>Accounts Payable</w:t>
      </w:r>
      <w:r w:rsidRPr="00963262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 </w:t>
      </w:r>
      <w:r w:rsidR="0091499E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Office </w:t>
      </w:r>
      <w:r w:rsidRPr="00963262">
        <w:rPr>
          <w:rFonts w:asciiTheme="minorHAnsi" w:eastAsiaTheme="minorHAnsi" w:hAnsiTheme="minorHAnsi" w:cstheme="minorBidi"/>
          <w:bCs/>
          <w:iCs/>
          <w:sz w:val="22"/>
          <w:szCs w:val="22"/>
        </w:rPr>
        <w:t>for reimbursement. </w:t>
      </w:r>
      <w:r w:rsidR="00C060ED">
        <w:rPr>
          <w:rFonts w:asciiTheme="minorHAnsi" w:eastAsiaTheme="minorHAnsi" w:hAnsiTheme="minorHAnsi" w:cstheme="minorBidi"/>
          <w:bCs/>
          <w:iCs/>
          <w:sz w:val="22"/>
          <w:szCs w:val="22"/>
        </w:rPr>
        <w:t>F</w:t>
      </w:r>
      <w:r w:rsidRPr="00963262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orms are available from the University website at </w:t>
      </w:r>
      <w:hyperlink r:id="rId11" w:history="1">
        <w:r w:rsidR="00C060ED" w:rsidRPr="005848DA">
          <w:rPr>
            <w:rStyle w:val="Hyperlink"/>
          </w:rPr>
          <w:t>https://forms.humboldt.edu/</w:t>
        </w:r>
      </w:hyperlink>
    </w:p>
    <w:p w:rsidR="00963262" w:rsidRPr="00963262" w:rsidRDefault="00963262" w:rsidP="00A10662">
      <w:pPr>
        <w:pStyle w:val="NormalWeb"/>
        <w:ind w:left="1440"/>
        <w:rPr>
          <w:rFonts w:asciiTheme="minorHAnsi" w:eastAsiaTheme="minorHAnsi" w:hAnsiTheme="minorHAnsi" w:cstheme="minorBidi"/>
          <w:bCs/>
          <w:iCs/>
          <w:sz w:val="22"/>
          <w:szCs w:val="22"/>
        </w:rPr>
      </w:pPr>
      <w:r w:rsidRPr="00963262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4. The receipt must be itemized and </w:t>
      </w:r>
      <w:r w:rsidR="00A10662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contain a </w:t>
      </w:r>
      <w:r w:rsidRPr="00963262">
        <w:rPr>
          <w:rFonts w:asciiTheme="minorHAnsi" w:eastAsiaTheme="minorHAnsi" w:hAnsiTheme="minorHAnsi" w:cstheme="minorBidi"/>
          <w:bCs/>
          <w:iCs/>
          <w:sz w:val="22"/>
          <w:szCs w:val="22"/>
        </w:rPr>
        <w:t>specific</w:t>
      </w:r>
      <w:r w:rsidR="00A10662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 description of the supplies or services purchased</w:t>
      </w:r>
      <w:r w:rsidRPr="00963262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.  </w:t>
      </w:r>
      <w:r w:rsidR="00211FCC">
        <w:rPr>
          <w:rFonts w:asciiTheme="minorHAnsi" w:eastAsiaTheme="minorHAnsi" w:hAnsiTheme="minorHAnsi" w:cstheme="minorBidi"/>
          <w:bCs/>
          <w:iCs/>
          <w:sz w:val="22"/>
          <w:szCs w:val="22"/>
        </w:rPr>
        <w:t>A s</w:t>
      </w:r>
      <w:r w:rsidR="008C421E">
        <w:rPr>
          <w:rFonts w:asciiTheme="minorHAnsi" w:eastAsiaTheme="minorHAnsi" w:hAnsiTheme="minorHAnsi" w:cstheme="minorBidi"/>
          <w:bCs/>
          <w:iCs/>
          <w:sz w:val="22"/>
          <w:szCs w:val="22"/>
        </w:rPr>
        <w:t>ignature indicating receipt of the supplies or services.</w:t>
      </w:r>
      <w:r w:rsidRPr="00963262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  </w:t>
      </w:r>
      <w:r w:rsidR="00A10662">
        <w:rPr>
          <w:rFonts w:asciiTheme="minorHAnsi" w:eastAsiaTheme="minorHAnsi" w:hAnsiTheme="minorHAnsi" w:cstheme="minorBidi"/>
          <w:bCs/>
          <w:iCs/>
          <w:sz w:val="22"/>
          <w:szCs w:val="22"/>
        </w:rPr>
        <w:t>Positive evidence that a payment was made, i.e. a cash register receipt or a hand written receipt on which the word “paid” appears.</w:t>
      </w:r>
      <w:r w:rsidRPr="00963262">
        <w:rPr>
          <w:rFonts w:asciiTheme="minorHAnsi" w:eastAsiaTheme="minorHAnsi" w:hAnsiTheme="minorHAnsi" w:cstheme="minorBidi"/>
          <w:bCs/>
          <w:iCs/>
          <w:sz w:val="22"/>
          <w:szCs w:val="22"/>
        </w:rPr>
        <w:t> </w:t>
      </w:r>
    </w:p>
    <w:p w:rsidR="00C060ED" w:rsidRDefault="008C421E" w:rsidP="00C060ED">
      <w:pPr>
        <w:spacing w:after="0"/>
        <w:rPr>
          <w:bCs/>
          <w:iCs/>
        </w:rPr>
      </w:pPr>
      <w:r w:rsidRPr="008C421E">
        <w:rPr>
          <w:bCs/>
          <w:iCs/>
        </w:rPr>
        <w:t xml:space="preserve">Expenses that cannot be paid from petty cash include, but are not limited to, the following: </w:t>
      </w:r>
    </w:p>
    <w:p w:rsidR="00C060ED" w:rsidRDefault="008C421E" w:rsidP="00C060ED">
      <w:pPr>
        <w:pStyle w:val="ListParagraph"/>
        <w:numPr>
          <w:ilvl w:val="0"/>
          <w:numId w:val="1"/>
        </w:numPr>
        <w:rPr>
          <w:bCs/>
          <w:iCs/>
        </w:rPr>
      </w:pPr>
      <w:r w:rsidRPr="00C060ED">
        <w:rPr>
          <w:bCs/>
          <w:iCs/>
        </w:rPr>
        <w:t>invoices from vendors</w:t>
      </w:r>
    </w:p>
    <w:p w:rsidR="00C060ED" w:rsidRDefault="008C421E" w:rsidP="00C060ED">
      <w:pPr>
        <w:pStyle w:val="ListParagraph"/>
        <w:numPr>
          <w:ilvl w:val="0"/>
          <w:numId w:val="1"/>
        </w:numPr>
        <w:rPr>
          <w:bCs/>
          <w:iCs/>
        </w:rPr>
      </w:pPr>
      <w:r w:rsidRPr="00C060ED">
        <w:rPr>
          <w:bCs/>
          <w:iCs/>
        </w:rPr>
        <w:t xml:space="preserve"> payments for services to employees or independent contractors</w:t>
      </w:r>
    </w:p>
    <w:p w:rsidR="00C060ED" w:rsidRDefault="008C421E" w:rsidP="00C060ED">
      <w:pPr>
        <w:pStyle w:val="ListParagraph"/>
        <w:numPr>
          <w:ilvl w:val="0"/>
          <w:numId w:val="1"/>
        </w:numPr>
        <w:rPr>
          <w:bCs/>
          <w:iCs/>
        </w:rPr>
      </w:pPr>
      <w:r w:rsidRPr="00C060ED">
        <w:rPr>
          <w:bCs/>
          <w:iCs/>
        </w:rPr>
        <w:t xml:space="preserve"> loans and advances</w:t>
      </w:r>
    </w:p>
    <w:p w:rsidR="00D159FC" w:rsidRPr="00C060ED" w:rsidRDefault="008C421E" w:rsidP="00C060ED">
      <w:pPr>
        <w:pStyle w:val="ListParagraph"/>
        <w:numPr>
          <w:ilvl w:val="0"/>
          <w:numId w:val="1"/>
        </w:numPr>
        <w:rPr>
          <w:bCs/>
          <w:iCs/>
        </w:rPr>
      </w:pPr>
      <w:r w:rsidRPr="00C060ED">
        <w:rPr>
          <w:bCs/>
          <w:iCs/>
        </w:rPr>
        <w:t xml:space="preserve"> </w:t>
      </w:r>
      <w:proofErr w:type="gramStart"/>
      <w:r w:rsidR="00D56EFB" w:rsidRPr="00C060ED">
        <w:rPr>
          <w:bCs/>
          <w:iCs/>
        </w:rPr>
        <w:t>travel</w:t>
      </w:r>
      <w:proofErr w:type="gramEnd"/>
      <w:r w:rsidR="00D56EFB" w:rsidRPr="00C060ED">
        <w:rPr>
          <w:bCs/>
          <w:iCs/>
        </w:rPr>
        <w:t xml:space="preserve"> expenses </w:t>
      </w:r>
      <w:r w:rsidR="00C060ED">
        <w:rPr>
          <w:bCs/>
          <w:iCs/>
        </w:rPr>
        <w:t xml:space="preserve">(Except for mileage and/or parking expenses less than $50.00 with no overnight stay.) </w:t>
      </w:r>
      <w:r w:rsidR="00D56EFB" w:rsidRPr="00C060ED">
        <w:rPr>
          <w:bCs/>
          <w:iCs/>
        </w:rPr>
        <w:t>.</w:t>
      </w:r>
    </w:p>
    <w:p w:rsidR="00D159FC" w:rsidRDefault="00D159FC" w:rsidP="00A10662">
      <w:pPr>
        <w:spacing w:after="0"/>
        <w:rPr>
          <w:b/>
          <w:bCs/>
          <w:iCs/>
          <w:u w:val="single"/>
        </w:rPr>
      </w:pPr>
      <w:r w:rsidRPr="00D159FC">
        <w:rPr>
          <w:b/>
          <w:bCs/>
          <w:iCs/>
          <w:u w:val="single"/>
        </w:rPr>
        <w:t>S</w:t>
      </w:r>
      <w:r w:rsidR="00635B60">
        <w:rPr>
          <w:b/>
          <w:bCs/>
          <w:iCs/>
          <w:u w:val="single"/>
        </w:rPr>
        <w:t>etting-Up a Petty Cash Fund or a Change Fund</w:t>
      </w:r>
      <w:r w:rsidRPr="00D159FC">
        <w:rPr>
          <w:b/>
          <w:bCs/>
          <w:iCs/>
          <w:u w:val="single"/>
        </w:rPr>
        <w:t xml:space="preserve"> </w:t>
      </w:r>
    </w:p>
    <w:p w:rsidR="00E85517" w:rsidRPr="00E85517" w:rsidRDefault="00E85517" w:rsidP="00E85517">
      <w:pPr>
        <w:rPr>
          <w:bCs/>
          <w:iCs/>
        </w:rPr>
      </w:pPr>
      <w:r w:rsidRPr="00E85517">
        <w:rPr>
          <w:bCs/>
          <w:iCs/>
        </w:rPr>
        <w:t xml:space="preserve">If a Department incurs frequent small expenses and believes that they have a need </w:t>
      </w:r>
      <w:r>
        <w:rPr>
          <w:bCs/>
          <w:iCs/>
        </w:rPr>
        <w:t xml:space="preserve">to establish a </w:t>
      </w:r>
      <w:r w:rsidR="00BB115B">
        <w:rPr>
          <w:bCs/>
          <w:iCs/>
        </w:rPr>
        <w:t>Petty Cash F</w:t>
      </w:r>
      <w:r>
        <w:rPr>
          <w:bCs/>
          <w:iCs/>
        </w:rPr>
        <w:t>und</w:t>
      </w:r>
      <w:r w:rsidRPr="00E85517">
        <w:rPr>
          <w:bCs/>
          <w:iCs/>
        </w:rPr>
        <w:t xml:space="preserve"> or has a need for a Change Fund the procedures</w:t>
      </w:r>
      <w:r>
        <w:rPr>
          <w:bCs/>
          <w:iCs/>
        </w:rPr>
        <w:t xml:space="preserve"> below should be followed</w:t>
      </w:r>
      <w:r w:rsidRPr="00E85517">
        <w:rPr>
          <w:bCs/>
          <w:iCs/>
        </w:rPr>
        <w:t>:</w:t>
      </w:r>
    </w:p>
    <w:p w:rsidR="00D159FC" w:rsidRPr="00D159FC" w:rsidRDefault="004E731F" w:rsidP="00D159FC">
      <w:pPr>
        <w:rPr>
          <w:bCs/>
          <w:iCs/>
        </w:rPr>
      </w:pPr>
      <w:r>
        <w:rPr>
          <w:bCs/>
          <w:iCs/>
        </w:rPr>
        <w:t>T</w:t>
      </w:r>
      <w:r w:rsidR="00CA3C7A">
        <w:rPr>
          <w:bCs/>
          <w:iCs/>
        </w:rPr>
        <w:t xml:space="preserve">o set-up a Petty </w:t>
      </w:r>
      <w:r w:rsidR="00CA3C7A" w:rsidRPr="00BC6616">
        <w:rPr>
          <w:bCs/>
          <w:iCs/>
        </w:rPr>
        <w:t>Cash Fund</w:t>
      </w:r>
      <w:r w:rsidR="00BB115B" w:rsidRPr="00BC6616">
        <w:rPr>
          <w:bCs/>
          <w:iCs/>
        </w:rPr>
        <w:t xml:space="preserve"> or a C</w:t>
      </w:r>
      <w:r w:rsidR="00B72EC6" w:rsidRPr="00BC6616">
        <w:rPr>
          <w:bCs/>
          <w:iCs/>
        </w:rPr>
        <w:t xml:space="preserve">hange </w:t>
      </w:r>
      <w:r w:rsidR="00BB115B" w:rsidRPr="00BC6616">
        <w:rPr>
          <w:bCs/>
          <w:iCs/>
        </w:rPr>
        <w:t>F</w:t>
      </w:r>
      <w:r w:rsidR="00B72EC6" w:rsidRPr="00BC6616">
        <w:rPr>
          <w:bCs/>
          <w:iCs/>
        </w:rPr>
        <w:t>und</w:t>
      </w:r>
      <w:r w:rsidR="0087431B" w:rsidRPr="00BC6616">
        <w:rPr>
          <w:bCs/>
          <w:iCs/>
        </w:rPr>
        <w:t>,</w:t>
      </w:r>
      <w:r w:rsidR="00CA3C7A" w:rsidRPr="00BC6616">
        <w:rPr>
          <w:bCs/>
          <w:iCs/>
        </w:rPr>
        <w:t xml:space="preserve"> t</w:t>
      </w:r>
      <w:r w:rsidR="00D159FC" w:rsidRPr="00BC6616">
        <w:rPr>
          <w:bCs/>
          <w:iCs/>
        </w:rPr>
        <w:t>he</w:t>
      </w:r>
      <w:r w:rsidR="00D159FC" w:rsidRPr="00D159FC">
        <w:rPr>
          <w:bCs/>
          <w:iCs/>
        </w:rPr>
        <w:t xml:space="preserve"> </w:t>
      </w:r>
      <w:r w:rsidR="00635B60">
        <w:rPr>
          <w:bCs/>
          <w:iCs/>
        </w:rPr>
        <w:t xml:space="preserve">requestor and the </w:t>
      </w:r>
      <w:r w:rsidR="00D159FC" w:rsidRPr="00D159FC">
        <w:rPr>
          <w:bCs/>
          <w:iCs/>
        </w:rPr>
        <w:t xml:space="preserve">Department Head </w:t>
      </w:r>
      <w:r w:rsidR="00CA3C7A">
        <w:rPr>
          <w:bCs/>
          <w:iCs/>
        </w:rPr>
        <w:t xml:space="preserve">must </w:t>
      </w:r>
      <w:r w:rsidR="00635B60">
        <w:rPr>
          <w:bCs/>
          <w:iCs/>
        </w:rPr>
        <w:t xml:space="preserve">submit a </w:t>
      </w:r>
      <w:r w:rsidR="00635B60" w:rsidRPr="00635B60">
        <w:rPr>
          <w:bCs/>
          <w:iCs/>
          <w:u w:val="single"/>
        </w:rPr>
        <w:t>Request for Petty Cash or Change Fund</w:t>
      </w:r>
      <w:r w:rsidR="00635B60">
        <w:rPr>
          <w:bCs/>
          <w:iCs/>
        </w:rPr>
        <w:t xml:space="preserve"> form </w:t>
      </w:r>
      <w:r w:rsidR="00D159FC" w:rsidRPr="00D159FC">
        <w:rPr>
          <w:bCs/>
          <w:iCs/>
        </w:rPr>
        <w:t xml:space="preserve">to the </w:t>
      </w:r>
      <w:r w:rsidR="00C060ED">
        <w:rPr>
          <w:bCs/>
          <w:iCs/>
        </w:rPr>
        <w:t>Manager of Student Financial Services</w:t>
      </w:r>
      <w:r w:rsidR="00D159FC" w:rsidRPr="00D159FC">
        <w:rPr>
          <w:bCs/>
          <w:iCs/>
        </w:rPr>
        <w:t xml:space="preserve">. </w:t>
      </w:r>
    </w:p>
    <w:p w:rsidR="00D159FC" w:rsidRPr="00D159FC" w:rsidRDefault="00D159FC" w:rsidP="00D159FC">
      <w:pPr>
        <w:rPr>
          <w:bCs/>
          <w:iCs/>
        </w:rPr>
      </w:pPr>
      <w:r w:rsidRPr="00D159FC">
        <w:rPr>
          <w:bCs/>
          <w:iCs/>
        </w:rPr>
        <w:t xml:space="preserve">The </w:t>
      </w:r>
      <w:r w:rsidR="00635B60">
        <w:rPr>
          <w:bCs/>
          <w:iCs/>
        </w:rPr>
        <w:t>form</w:t>
      </w:r>
      <w:r w:rsidRPr="00D159FC">
        <w:rPr>
          <w:bCs/>
          <w:iCs/>
        </w:rPr>
        <w:t xml:space="preserve"> will be reviewed to </w:t>
      </w:r>
      <w:r w:rsidR="000103B2">
        <w:rPr>
          <w:bCs/>
          <w:iCs/>
        </w:rPr>
        <w:t>determine whether the purpose and use of the funds is appropriate</w:t>
      </w:r>
      <w:r w:rsidRPr="00D159FC">
        <w:rPr>
          <w:bCs/>
          <w:iCs/>
        </w:rPr>
        <w:t xml:space="preserve">. </w:t>
      </w:r>
    </w:p>
    <w:p w:rsidR="00D159FC" w:rsidRDefault="00D159FC" w:rsidP="00D159FC">
      <w:pPr>
        <w:rPr>
          <w:bCs/>
          <w:iCs/>
        </w:rPr>
      </w:pPr>
      <w:r w:rsidRPr="00D159FC">
        <w:rPr>
          <w:bCs/>
          <w:iCs/>
        </w:rPr>
        <w:lastRenderedPageBreak/>
        <w:t xml:space="preserve">If the request is granted, the </w:t>
      </w:r>
      <w:r w:rsidR="00635B60">
        <w:rPr>
          <w:bCs/>
          <w:iCs/>
        </w:rPr>
        <w:t xml:space="preserve">Request for Petty Cash or </w:t>
      </w:r>
      <w:r w:rsidRPr="00D159FC">
        <w:rPr>
          <w:bCs/>
          <w:iCs/>
        </w:rPr>
        <w:t>Change Fund</w:t>
      </w:r>
      <w:r w:rsidR="00635B60">
        <w:rPr>
          <w:bCs/>
          <w:iCs/>
        </w:rPr>
        <w:t xml:space="preserve"> form will be signed by the </w:t>
      </w:r>
      <w:r w:rsidR="00A10662">
        <w:rPr>
          <w:bCs/>
          <w:iCs/>
        </w:rPr>
        <w:t xml:space="preserve">Controller </w:t>
      </w:r>
      <w:r w:rsidR="00635B60">
        <w:rPr>
          <w:bCs/>
          <w:iCs/>
        </w:rPr>
        <w:t xml:space="preserve">of </w:t>
      </w:r>
      <w:r w:rsidR="000103B2">
        <w:rPr>
          <w:bCs/>
          <w:iCs/>
        </w:rPr>
        <w:t>Financ</w:t>
      </w:r>
      <w:r w:rsidR="00A10662">
        <w:rPr>
          <w:bCs/>
          <w:iCs/>
        </w:rPr>
        <w:t>ial Services</w:t>
      </w:r>
      <w:r w:rsidRPr="00D159FC">
        <w:rPr>
          <w:bCs/>
          <w:iCs/>
        </w:rPr>
        <w:t xml:space="preserve">. </w:t>
      </w:r>
      <w:r w:rsidR="002B5A39">
        <w:rPr>
          <w:bCs/>
          <w:iCs/>
        </w:rPr>
        <w:t xml:space="preserve"> The form will then be submitted to Accounts Payable, who will process a check for the authorized amount to the custodian</w:t>
      </w:r>
      <w:r w:rsidR="00A10662">
        <w:rPr>
          <w:bCs/>
          <w:iCs/>
        </w:rPr>
        <w:t xml:space="preserve"> and can be picked up at the HSU Cashier’s Office</w:t>
      </w:r>
      <w:r w:rsidR="002B5A39">
        <w:rPr>
          <w:bCs/>
          <w:iCs/>
        </w:rPr>
        <w:t xml:space="preserve">. </w:t>
      </w:r>
    </w:p>
    <w:p w:rsidR="00E26AE4" w:rsidRDefault="004E731F" w:rsidP="00D159FC">
      <w:pPr>
        <w:rPr>
          <w:bCs/>
          <w:iCs/>
        </w:rPr>
      </w:pPr>
      <w:r>
        <w:rPr>
          <w:bCs/>
          <w:iCs/>
        </w:rPr>
        <w:t>The custodian must ensure that a</w:t>
      </w:r>
      <w:r w:rsidR="00E26AE4">
        <w:rPr>
          <w:bCs/>
          <w:iCs/>
        </w:rPr>
        <w:t xml:space="preserve"> safe, vault, or money chest</w:t>
      </w:r>
      <w:r w:rsidR="00E26AE4" w:rsidRPr="00E26AE4">
        <w:rPr>
          <w:bCs/>
          <w:iCs/>
        </w:rPr>
        <w:t xml:space="preserve"> that </w:t>
      </w:r>
      <w:r w:rsidR="00E26AE4">
        <w:rPr>
          <w:bCs/>
          <w:iCs/>
        </w:rPr>
        <w:t>is</w:t>
      </w:r>
      <w:r w:rsidR="00E26AE4" w:rsidRPr="00E26AE4">
        <w:rPr>
          <w:bCs/>
          <w:iCs/>
        </w:rPr>
        <w:t xml:space="preserve"> adequate to safeguard cash</w:t>
      </w:r>
      <w:r w:rsidR="00E26AE4">
        <w:rPr>
          <w:bCs/>
          <w:iCs/>
        </w:rPr>
        <w:t xml:space="preserve">, </w:t>
      </w:r>
      <w:r>
        <w:rPr>
          <w:bCs/>
          <w:iCs/>
        </w:rPr>
        <w:t>is</w:t>
      </w:r>
      <w:r w:rsidR="00E26AE4">
        <w:rPr>
          <w:bCs/>
          <w:iCs/>
        </w:rPr>
        <w:t xml:space="preserve"> used at all times</w:t>
      </w:r>
      <w:r w:rsidR="00E26AE4" w:rsidRPr="00E26AE4">
        <w:rPr>
          <w:bCs/>
          <w:iCs/>
        </w:rPr>
        <w:t>.</w:t>
      </w:r>
    </w:p>
    <w:p w:rsidR="00FB7242" w:rsidRPr="00D159FC" w:rsidRDefault="00FB7242" w:rsidP="00FB7242">
      <w:pPr>
        <w:pStyle w:val="NormalWeb"/>
        <w:rPr>
          <w:rFonts w:asciiTheme="minorHAnsi" w:eastAsiaTheme="minorHAnsi" w:hAnsiTheme="minorHAnsi" w:cstheme="minorBidi"/>
          <w:bCs/>
          <w:iCs/>
          <w:sz w:val="22"/>
          <w:szCs w:val="22"/>
        </w:rPr>
      </w:pPr>
      <w:r w:rsidRPr="00FB7242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The custodian </w:t>
      </w:r>
      <w:r>
        <w:rPr>
          <w:rFonts w:asciiTheme="minorHAnsi" w:eastAsiaTheme="minorHAnsi" w:hAnsiTheme="minorHAnsi" w:cstheme="minorBidi"/>
          <w:bCs/>
          <w:iCs/>
          <w:sz w:val="22"/>
          <w:szCs w:val="22"/>
        </w:rPr>
        <w:t>must</w:t>
      </w:r>
      <w:r w:rsidRPr="00FB7242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Cs/>
          <w:iCs/>
          <w:sz w:val="22"/>
          <w:szCs w:val="22"/>
        </w:rPr>
        <w:t>turn in</w:t>
      </w:r>
      <w:r w:rsidRPr="00FB7242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 </w:t>
      </w:r>
      <w:r w:rsidR="0091499E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receipts </w:t>
      </w:r>
      <w:r w:rsidR="0091499E" w:rsidRPr="00FB7242">
        <w:rPr>
          <w:rFonts w:asciiTheme="minorHAnsi" w:eastAsiaTheme="minorHAnsi" w:hAnsiTheme="minorHAnsi" w:cstheme="minorBidi"/>
          <w:bCs/>
          <w:iCs/>
          <w:sz w:val="22"/>
          <w:szCs w:val="22"/>
        </w:rPr>
        <w:t>at</w:t>
      </w:r>
      <w:r w:rsidRPr="004E731F">
        <w:rPr>
          <w:rFonts w:asciiTheme="minorHAnsi" w:eastAsiaTheme="minorHAnsi" w:hAnsiTheme="minorHAnsi" w:cstheme="minorBidi"/>
          <w:b/>
          <w:bCs/>
          <w:iCs/>
          <w:sz w:val="22"/>
          <w:szCs w:val="22"/>
        </w:rPr>
        <w:t xml:space="preserve"> least once each month to Accounts Payable</w:t>
      </w:r>
      <w:r w:rsidRPr="00FB7242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.  Based upon these </w:t>
      </w:r>
      <w:r w:rsidR="0091499E">
        <w:rPr>
          <w:rFonts w:asciiTheme="minorHAnsi" w:eastAsiaTheme="minorHAnsi" w:hAnsiTheme="minorHAnsi" w:cstheme="minorBidi"/>
          <w:bCs/>
          <w:iCs/>
          <w:sz w:val="22"/>
          <w:szCs w:val="22"/>
        </w:rPr>
        <w:t>receipts</w:t>
      </w:r>
      <w:r w:rsidRPr="00FB7242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, a check will be issued to </w:t>
      </w:r>
      <w:r w:rsidR="0091499E">
        <w:rPr>
          <w:rFonts w:asciiTheme="minorHAnsi" w:eastAsiaTheme="minorHAnsi" w:hAnsiTheme="minorHAnsi" w:cstheme="minorBidi"/>
          <w:bCs/>
          <w:iCs/>
          <w:sz w:val="22"/>
          <w:szCs w:val="22"/>
        </w:rPr>
        <w:t xml:space="preserve">the custodian to </w:t>
      </w:r>
      <w:r w:rsidRPr="00FB7242">
        <w:rPr>
          <w:rFonts w:asciiTheme="minorHAnsi" w:eastAsiaTheme="minorHAnsi" w:hAnsiTheme="minorHAnsi" w:cstheme="minorBidi"/>
          <w:bCs/>
          <w:iCs/>
          <w:sz w:val="22"/>
          <w:szCs w:val="22"/>
        </w:rPr>
        <w:t>replenish the fund.</w:t>
      </w:r>
    </w:p>
    <w:p w:rsidR="00885590" w:rsidRPr="00D159FC" w:rsidRDefault="00885590" w:rsidP="00D159FC">
      <w:pPr>
        <w:rPr>
          <w:bCs/>
          <w:iCs/>
        </w:rPr>
      </w:pPr>
      <w:r w:rsidRPr="00885590">
        <w:rPr>
          <w:bCs/>
          <w:iCs/>
        </w:rPr>
        <w:t>Petty cash</w:t>
      </w:r>
      <w:r w:rsidR="00BC6616">
        <w:rPr>
          <w:bCs/>
          <w:iCs/>
        </w:rPr>
        <w:t xml:space="preserve"> funds and change</w:t>
      </w:r>
      <w:r w:rsidRPr="00885590">
        <w:rPr>
          <w:bCs/>
          <w:iCs/>
        </w:rPr>
        <w:t xml:space="preserve"> funds must not be comingled with other funds.</w:t>
      </w:r>
    </w:p>
    <w:p w:rsidR="00D56EFB" w:rsidRPr="00D56EFB" w:rsidRDefault="0087431B" w:rsidP="00A10662">
      <w:pPr>
        <w:spacing w:after="0"/>
        <w:rPr>
          <w:bCs/>
          <w:iCs/>
          <w:u w:val="single"/>
        </w:rPr>
      </w:pPr>
      <w:r>
        <w:rPr>
          <w:b/>
          <w:bCs/>
          <w:iCs/>
          <w:u w:val="single"/>
        </w:rPr>
        <w:t xml:space="preserve">Fund </w:t>
      </w:r>
      <w:r w:rsidR="00D56EFB" w:rsidRPr="00D56EFB">
        <w:rPr>
          <w:b/>
          <w:bCs/>
          <w:iCs/>
          <w:u w:val="single"/>
        </w:rPr>
        <w:t xml:space="preserve">Amounts </w:t>
      </w:r>
      <w:r>
        <w:rPr>
          <w:b/>
          <w:bCs/>
          <w:iCs/>
          <w:u w:val="single"/>
        </w:rPr>
        <w:t>Requiring Further Authorization</w:t>
      </w:r>
    </w:p>
    <w:p w:rsidR="00D56EFB" w:rsidRPr="00D56EFB" w:rsidRDefault="0087431B" w:rsidP="00E14D14">
      <w:pPr>
        <w:rPr>
          <w:bCs/>
          <w:iCs/>
        </w:rPr>
      </w:pPr>
      <w:r>
        <w:rPr>
          <w:bCs/>
          <w:iCs/>
        </w:rPr>
        <w:t xml:space="preserve">A </w:t>
      </w:r>
      <w:r w:rsidR="00424A54">
        <w:rPr>
          <w:bCs/>
          <w:iCs/>
        </w:rPr>
        <w:t>Petty Cash Fund</w:t>
      </w:r>
      <w:r w:rsidR="00D56EFB" w:rsidRPr="00D56EFB">
        <w:rPr>
          <w:bCs/>
          <w:iCs/>
        </w:rPr>
        <w:t xml:space="preserve"> </w:t>
      </w:r>
      <w:r w:rsidR="00D56EFB" w:rsidRPr="0087431B">
        <w:rPr>
          <w:bCs/>
          <w:iCs/>
        </w:rPr>
        <w:t>exceeding $</w:t>
      </w:r>
      <w:r w:rsidR="00E26AE4">
        <w:rPr>
          <w:bCs/>
          <w:iCs/>
        </w:rPr>
        <w:t>200</w:t>
      </w:r>
      <w:r w:rsidR="00D56EFB" w:rsidRPr="0087431B">
        <w:rPr>
          <w:bCs/>
          <w:iCs/>
        </w:rPr>
        <w:t>.00</w:t>
      </w:r>
      <w:r w:rsidR="00E14D14" w:rsidRPr="00E14D14">
        <w:rPr>
          <w:b/>
          <w:bCs/>
          <w:iCs/>
        </w:rPr>
        <w:t xml:space="preserve"> </w:t>
      </w:r>
      <w:r w:rsidR="00D56EFB" w:rsidRPr="00D56EFB">
        <w:rPr>
          <w:bCs/>
          <w:iCs/>
        </w:rPr>
        <w:t>will be authorized</w:t>
      </w:r>
      <w:r w:rsidR="00E26AE4">
        <w:rPr>
          <w:bCs/>
          <w:iCs/>
        </w:rPr>
        <w:t xml:space="preserve"> up to $750</w:t>
      </w:r>
      <w:r w:rsidR="001523E8">
        <w:rPr>
          <w:bCs/>
          <w:iCs/>
        </w:rPr>
        <w:t xml:space="preserve">, </w:t>
      </w:r>
      <w:r w:rsidR="001523E8" w:rsidRPr="00D56EFB">
        <w:rPr>
          <w:bCs/>
          <w:iCs/>
        </w:rPr>
        <w:t>after</w:t>
      </w:r>
      <w:r w:rsidR="001523E8">
        <w:rPr>
          <w:bCs/>
          <w:iCs/>
        </w:rPr>
        <w:t xml:space="preserve"> the above process to set up a Petty Cash fund has been completed, and evidence is</w:t>
      </w:r>
      <w:r w:rsidR="00D56EFB" w:rsidRPr="00D56EFB">
        <w:rPr>
          <w:bCs/>
          <w:iCs/>
        </w:rPr>
        <w:t xml:space="preserve"> provided</w:t>
      </w:r>
      <w:r w:rsidR="001523E8">
        <w:rPr>
          <w:bCs/>
          <w:iCs/>
        </w:rPr>
        <w:t xml:space="preserve"> that</w:t>
      </w:r>
      <w:r w:rsidR="00D56EFB" w:rsidRPr="00D56EFB">
        <w:rPr>
          <w:bCs/>
          <w:iCs/>
        </w:rPr>
        <w:t xml:space="preserve"> </w:t>
      </w:r>
      <w:r w:rsidR="00E14D14">
        <w:rPr>
          <w:bCs/>
          <w:iCs/>
        </w:rPr>
        <w:t>a</w:t>
      </w:r>
      <w:r w:rsidR="00D56EFB" w:rsidRPr="00D56EFB">
        <w:rPr>
          <w:bCs/>
          <w:iCs/>
        </w:rPr>
        <w:t xml:space="preserve"> fund of lesser amount would require replen</w:t>
      </w:r>
      <w:r w:rsidR="00E14D14">
        <w:rPr>
          <w:bCs/>
          <w:iCs/>
        </w:rPr>
        <w:t>ishment more than once a month</w:t>
      </w:r>
      <w:r w:rsidR="00424A54">
        <w:rPr>
          <w:bCs/>
          <w:iCs/>
        </w:rPr>
        <w:t>.</w:t>
      </w:r>
    </w:p>
    <w:p w:rsidR="00D56EFB" w:rsidRPr="00D56EFB" w:rsidRDefault="00D56EFB" w:rsidP="00A10662">
      <w:pPr>
        <w:spacing w:after="0"/>
        <w:rPr>
          <w:bCs/>
          <w:iCs/>
          <w:u w:val="single"/>
        </w:rPr>
      </w:pPr>
      <w:r w:rsidRPr="00D56EFB">
        <w:rPr>
          <w:b/>
          <w:bCs/>
          <w:iCs/>
          <w:u w:val="single"/>
        </w:rPr>
        <w:t xml:space="preserve">Petty Cash/Change Fund Audit </w:t>
      </w:r>
    </w:p>
    <w:p w:rsidR="00D56EFB" w:rsidRPr="00D56EFB" w:rsidRDefault="007117A3" w:rsidP="00D56EFB">
      <w:pPr>
        <w:rPr>
          <w:bCs/>
          <w:iCs/>
        </w:rPr>
      </w:pPr>
      <w:r>
        <w:rPr>
          <w:bCs/>
          <w:iCs/>
        </w:rPr>
        <w:t>U</w:t>
      </w:r>
      <w:r w:rsidR="008C421E" w:rsidRPr="008C421E">
        <w:rPr>
          <w:bCs/>
          <w:iCs/>
        </w:rPr>
        <w:t xml:space="preserve">nannounced </w:t>
      </w:r>
      <w:r>
        <w:rPr>
          <w:bCs/>
          <w:iCs/>
        </w:rPr>
        <w:t>audits of a petty cash/change fund shall be documented and done by someone other than the fund custodian’s supervisor. A</w:t>
      </w:r>
      <w:r w:rsidR="00424A54">
        <w:rPr>
          <w:bCs/>
          <w:iCs/>
        </w:rPr>
        <w:t xml:space="preserve">n independent person </w:t>
      </w:r>
      <w:r>
        <w:rPr>
          <w:bCs/>
          <w:iCs/>
        </w:rPr>
        <w:t xml:space="preserve">from Student Financial Services </w:t>
      </w:r>
      <w:r w:rsidR="00D56EFB" w:rsidRPr="00D56EFB">
        <w:rPr>
          <w:bCs/>
          <w:iCs/>
        </w:rPr>
        <w:t xml:space="preserve">will </w:t>
      </w:r>
      <w:r>
        <w:rPr>
          <w:bCs/>
          <w:iCs/>
        </w:rPr>
        <w:t xml:space="preserve">conduct the audit of the petty cash/change fund </w:t>
      </w:r>
      <w:r w:rsidR="008C421E" w:rsidRPr="008C421E">
        <w:rPr>
          <w:bCs/>
          <w:iCs/>
        </w:rPr>
        <w:t xml:space="preserve">in the presence of the fund custodian </w:t>
      </w:r>
      <w:r w:rsidR="008C421E" w:rsidRPr="00D56EFB">
        <w:rPr>
          <w:bCs/>
          <w:iCs/>
        </w:rPr>
        <w:t>based</w:t>
      </w:r>
      <w:r w:rsidR="00D56EFB" w:rsidRPr="00D56EFB">
        <w:rPr>
          <w:bCs/>
          <w:iCs/>
        </w:rPr>
        <w:t xml:space="preserve"> on the size of the fund as follows: </w:t>
      </w:r>
    </w:p>
    <w:tbl>
      <w:tblPr>
        <w:tblW w:w="0" w:type="auto"/>
        <w:tblInd w:w="72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398"/>
        <w:gridCol w:w="1973"/>
      </w:tblGrid>
      <w:tr w:rsidR="00D56EFB" w:rsidRPr="00D56EFB" w:rsidTr="00E14D14">
        <w:trPr>
          <w:trHeight w:val="508"/>
        </w:trPr>
        <w:tc>
          <w:tcPr>
            <w:tcW w:w="0" w:type="auto"/>
            <w:vAlign w:val="bottom"/>
          </w:tcPr>
          <w:p w:rsidR="00D56EFB" w:rsidRPr="00E14D14" w:rsidRDefault="00D56EFB" w:rsidP="0035017B">
            <w:pPr>
              <w:rPr>
                <w:bCs/>
                <w:iCs/>
              </w:rPr>
            </w:pPr>
            <w:r w:rsidRPr="00E14D14">
              <w:rPr>
                <w:bCs/>
                <w:iCs/>
                <w:u w:val="single"/>
              </w:rPr>
              <w:t>Size of Fund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D56EFB" w:rsidRPr="00E14D14" w:rsidRDefault="00D56EFB" w:rsidP="0035017B">
            <w:pPr>
              <w:rPr>
                <w:bCs/>
                <w:iCs/>
              </w:rPr>
            </w:pPr>
            <w:r w:rsidRPr="00E14D14">
              <w:rPr>
                <w:bCs/>
                <w:iCs/>
                <w:u w:val="single"/>
              </w:rPr>
              <w:t>Frequency of Count</w:t>
            </w:r>
          </w:p>
        </w:tc>
      </w:tr>
      <w:tr w:rsidR="00D56EFB" w:rsidRPr="00D56EFB" w:rsidTr="00E14D14">
        <w:trPr>
          <w:trHeight w:val="277"/>
        </w:trPr>
        <w:tc>
          <w:tcPr>
            <w:tcW w:w="0" w:type="auto"/>
            <w:vAlign w:val="bottom"/>
          </w:tcPr>
          <w:p w:rsidR="00D56EFB" w:rsidRPr="00E14D14" w:rsidRDefault="00081CF4" w:rsidP="0035017B">
            <w:pPr>
              <w:rPr>
                <w:bCs/>
                <w:iCs/>
              </w:rPr>
            </w:pPr>
            <w:r>
              <w:rPr>
                <w:bCs/>
                <w:iCs/>
              </w:rPr>
              <w:t>$200</w:t>
            </w:r>
            <w:r w:rsidR="00D56EFB" w:rsidRPr="00E14D14">
              <w:rPr>
                <w:bCs/>
                <w:iCs/>
              </w:rPr>
              <w:t xml:space="preserve"> or Less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D56EFB" w:rsidRPr="00E14D14" w:rsidRDefault="00D56EFB" w:rsidP="0035017B">
            <w:pPr>
              <w:rPr>
                <w:bCs/>
                <w:iCs/>
              </w:rPr>
            </w:pPr>
            <w:r w:rsidRPr="00E14D14">
              <w:rPr>
                <w:bCs/>
                <w:iCs/>
              </w:rPr>
              <w:t>Annually</w:t>
            </w:r>
          </w:p>
        </w:tc>
      </w:tr>
      <w:tr w:rsidR="00D56EFB" w:rsidRPr="00D56EFB" w:rsidTr="00E14D14">
        <w:trPr>
          <w:trHeight w:val="277"/>
        </w:trPr>
        <w:tc>
          <w:tcPr>
            <w:tcW w:w="0" w:type="auto"/>
            <w:vAlign w:val="bottom"/>
          </w:tcPr>
          <w:p w:rsidR="00D56EFB" w:rsidRPr="00E14D14" w:rsidRDefault="00081CF4" w:rsidP="0035017B">
            <w:pPr>
              <w:rPr>
                <w:bCs/>
                <w:iCs/>
              </w:rPr>
            </w:pPr>
            <w:r>
              <w:rPr>
                <w:bCs/>
                <w:iCs/>
              </w:rPr>
              <w:t>$201</w:t>
            </w:r>
            <w:r w:rsidR="00D56EFB" w:rsidRPr="00E14D14">
              <w:rPr>
                <w:bCs/>
                <w:iCs/>
              </w:rPr>
              <w:t xml:space="preserve"> to $500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D56EFB" w:rsidRPr="00E14D14" w:rsidRDefault="00D56EFB" w:rsidP="0035017B">
            <w:pPr>
              <w:rPr>
                <w:bCs/>
                <w:iCs/>
              </w:rPr>
            </w:pPr>
            <w:r w:rsidRPr="00E14D14">
              <w:rPr>
                <w:bCs/>
                <w:iCs/>
              </w:rPr>
              <w:t>Quarterly</w:t>
            </w:r>
          </w:p>
        </w:tc>
      </w:tr>
      <w:tr w:rsidR="00D56EFB" w:rsidRPr="00D56EFB" w:rsidTr="00E14D14">
        <w:trPr>
          <w:trHeight w:val="277"/>
        </w:trPr>
        <w:tc>
          <w:tcPr>
            <w:tcW w:w="0" w:type="auto"/>
            <w:vAlign w:val="bottom"/>
          </w:tcPr>
          <w:p w:rsidR="00D56EFB" w:rsidRPr="00E14D14" w:rsidRDefault="00081CF4" w:rsidP="00BC6616">
            <w:pPr>
              <w:rPr>
                <w:bCs/>
                <w:iCs/>
              </w:rPr>
            </w:pPr>
            <w:r>
              <w:rPr>
                <w:bCs/>
                <w:iCs/>
              </w:rPr>
              <w:t>$501</w:t>
            </w:r>
            <w:r w:rsidR="00D56EFB" w:rsidRPr="00E14D14">
              <w:rPr>
                <w:bCs/>
                <w:iCs/>
              </w:rPr>
              <w:t xml:space="preserve"> </w:t>
            </w:r>
            <w:r w:rsidR="00BC6616">
              <w:rPr>
                <w:bCs/>
                <w:iCs/>
              </w:rPr>
              <w:t>and up</w:t>
            </w:r>
          </w:p>
        </w:tc>
        <w:tc>
          <w:tcPr>
            <w:tcW w:w="0" w:type="auto"/>
            <w:vAlign w:val="bottom"/>
          </w:tcPr>
          <w:p w:rsidR="00D56EFB" w:rsidRPr="00E14D14" w:rsidRDefault="00BC6616" w:rsidP="0035017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At least </w:t>
            </w:r>
            <w:r w:rsidR="00D56EFB" w:rsidRPr="00E14D14">
              <w:rPr>
                <w:bCs/>
                <w:iCs/>
              </w:rPr>
              <w:t>Monthly</w:t>
            </w:r>
          </w:p>
        </w:tc>
      </w:tr>
    </w:tbl>
    <w:p w:rsidR="007117A3" w:rsidRDefault="007117A3" w:rsidP="00D56EFB">
      <w:pPr>
        <w:rPr>
          <w:b/>
          <w:bCs/>
          <w:iCs/>
          <w:u w:val="single"/>
        </w:rPr>
      </w:pPr>
    </w:p>
    <w:p w:rsidR="007117A3" w:rsidRDefault="007117A3" w:rsidP="00D56EFB">
      <w:pPr>
        <w:rPr>
          <w:b/>
          <w:bCs/>
          <w:iCs/>
          <w:u w:val="single"/>
        </w:rPr>
      </w:pPr>
    </w:p>
    <w:p w:rsidR="00D56EFB" w:rsidRPr="00D56EFB" w:rsidRDefault="00D56EFB" w:rsidP="00A10662">
      <w:pPr>
        <w:spacing w:after="0"/>
        <w:rPr>
          <w:b/>
          <w:bCs/>
          <w:iCs/>
          <w:u w:val="single"/>
        </w:rPr>
      </w:pPr>
      <w:r w:rsidRPr="00D56EFB">
        <w:rPr>
          <w:b/>
          <w:bCs/>
          <w:iCs/>
          <w:u w:val="single"/>
        </w:rPr>
        <w:t xml:space="preserve">Petty Cash/Change Fund Transfer of Fund Custody </w:t>
      </w:r>
    </w:p>
    <w:p w:rsidR="00D56EFB" w:rsidRPr="00D56EFB" w:rsidRDefault="00D56EFB" w:rsidP="00D56EFB">
      <w:pPr>
        <w:rPr>
          <w:bCs/>
          <w:iCs/>
        </w:rPr>
      </w:pPr>
      <w:r w:rsidRPr="00D56EFB">
        <w:rPr>
          <w:bCs/>
          <w:iCs/>
        </w:rPr>
        <w:t xml:space="preserve">The Custodian is personally responsible for the amount </w:t>
      </w:r>
      <w:r w:rsidR="00E14D14">
        <w:rPr>
          <w:bCs/>
          <w:iCs/>
        </w:rPr>
        <w:t>in the Petty Cash or Change Fund</w:t>
      </w:r>
      <w:r w:rsidRPr="00D56EFB">
        <w:rPr>
          <w:bCs/>
          <w:iCs/>
        </w:rPr>
        <w:t xml:space="preserve">. The Check issued by AP to replenish the fund </w:t>
      </w:r>
      <w:r w:rsidR="00E14D14">
        <w:rPr>
          <w:bCs/>
          <w:iCs/>
        </w:rPr>
        <w:t>will be</w:t>
      </w:r>
      <w:r w:rsidR="001523E8">
        <w:rPr>
          <w:bCs/>
          <w:iCs/>
        </w:rPr>
        <w:t xml:space="preserve"> made payable to the Custodian.</w:t>
      </w:r>
    </w:p>
    <w:p w:rsidR="00D56EFB" w:rsidRPr="00D56EFB" w:rsidRDefault="00D56EFB" w:rsidP="00D56EFB">
      <w:pPr>
        <w:rPr>
          <w:bCs/>
          <w:iCs/>
        </w:rPr>
      </w:pPr>
      <w:r w:rsidRPr="00D56EFB">
        <w:rPr>
          <w:bCs/>
          <w:iCs/>
        </w:rPr>
        <w:t xml:space="preserve">Transfer of fund custody has properly taken place after the following conditions have been performed: </w:t>
      </w:r>
    </w:p>
    <w:p w:rsidR="00D56EFB" w:rsidRPr="00D56EFB" w:rsidRDefault="00D56EFB" w:rsidP="004B1E8F">
      <w:pPr>
        <w:ind w:left="1440"/>
        <w:rPr>
          <w:bCs/>
          <w:iCs/>
        </w:rPr>
      </w:pPr>
      <w:r w:rsidRPr="00D56EFB">
        <w:rPr>
          <w:bCs/>
          <w:iCs/>
        </w:rPr>
        <w:t xml:space="preserve">1.) A personal audit by the newly assigned custodian of the amount to be transferred is done in the presence of the outgoing custodian. </w:t>
      </w:r>
    </w:p>
    <w:p w:rsidR="00D56EFB" w:rsidRDefault="004B1E8F" w:rsidP="004B1E8F">
      <w:pPr>
        <w:ind w:left="1440"/>
        <w:rPr>
          <w:bCs/>
          <w:iCs/>
        </w:rPr>
      </w:pPr>
      <w:r>
        <w:rPr>
          <w:bCs/>
          <w:iCs/>
        </w:rPr>
        <w:t>2</w:t>
      </w:r>
      <w:r w:rsidR="00D56EFB" w:rsidRPr="00D56EFB">
        <w:rPr>
          <w:bCs/>
          <w:iCs/>
        </w:rPr>
        <w:t xml:space="preserve">.) A new </w:t>
      </w:r>
      <w:r w:rsidR="001523E8">
        <w:rPr>
          <w:bCs/>
          <w:iCs/>
        </w:rPr>
        <w:t>Request for Petty Cash Fund of Change Fund</w:t>
      </w:r>
      <w:r w:rsidR="00D56EFB" w:rsidRPr="00D56EFB">
        <w:rPr>
          <w:bCs/>
          <w:iCs/>
        </w:rPr>
        <w:t xml:space="preserve"> form signed by </w:t>
      </w:r>
      <w:r w:rsidRPr="00D56EFB">
        <w:rPr>
          <w:bCs/>
          <w:iCs/>
        </w:rPr>
        <w:t>the</w:t>
      </w:r>
      <w:r>
        <w:rPr>
          <w:bCs/>
          <w:iCs/>
        </w:rPr>
        <w:t xml:space="preserve"> newly assigned custodian, </w:t>
      </w:r>
      <w:r w:rsidR="00D56EFB" w:rsidRPr="00D56EFB">
        <w:rPr>
          <w:bCs/>
          <w:iCs/>
        </w:rPr>
        <w:t xml:space="preserve">the </w:t>
      </w:r>
      <w:r>
        <w:rPr>
          <w:bCs/>
          <w:iCs/>
        </w:rPr>
        <w:t xml:space="preserve">outgoing custodian, Department Head, and the </w:t>
      </w:r>
      <w:r w:rsidR="00A10662">
        <w:rPr>
          <w:bCs/>
          <w:iCs/>
        </w:rPr>
        <w:t>Controller of Financial Services</w:t>
      </w:r>
      <w:r>
        <w:rPr>
          <w:bCs/>
          <w:iCs/>
        </w:rPr>
        <w:t>.</w:t>
      </w:r>
      <w:r w:rsidR="00D56EFB" w:rsidRPr="00D56EFB">
        <w:rPr>
          <w:bCs/>
          <w:iCs/>
        </w:rPr>
        <w:t xml:space="preserve"> </w:t>
      </w:r>
    </w:p>
    <w:p w:rsidR="008C421E" w:rsidRDefault="008C421E" w:rsidP="008C421E">
      <w:pPr>
        <w:rPr>
          <w:bCs/>
          <w:iCs/>
        </w:rPr>
      </w:pPr>
      <w:r w:rsidRPr="00D56EFB">
        <w:rPr>
          <w:b/>
          <w:bCs/>
          <w:iCs/>
          <w:u w:val="single"/>
        </w:rPr>
        <w:lastRenderedPageBreak/>
        <w:t>Petty Cash/Change Fund</w:t>
      </w:r>
      <w:r>
        <w:rPr>
          <w:b/>
          <w:bCs/>
          <w:iCs/>
          <w:u w:val="single"/>
        </w:rPr>
        <w:t xml:space="preserve"> Theft</w:t>
      </w:r>
    </w:p>
    <w:p w:rsidR="008C421E" w:rsidRPr="008C421E" w:rsidRDefault="008C421E" w:rsidP="008C421E">
      <w:pPr>
        <w:rPr>
          <w:bCs/>
          <w:iCs/>
        </w:rPr>
      </w:pPr>
      <w:r w:rsidRPr="008C421E">
        <w:rPr>
          <w:bCs/>
          <w:iCs/>
        </w:rPr>
        <w:t xml:space="preserve">In the event of theft, notify </w:t>
      </w:r>
      <w:r>
        <w:rPr>
          <w:bCs/>
          <w:iCs/>
        </w:rPr>
        <w:t xml:space="preserve">the </w:t>
      </w:r>
      <w:r w:rsidR="00A10662">
        <w:rPr>
          <w:bCs/>
          <w:iCs/>
        </w:rPr>
        <w:t>Manager of Student Financial Services</w:t>
      </w:r>
      <w:r>
        <w:rPr>
          <w:bCs/>
          <w:iCs/>
        </w:rPr>
        <w:t xml:space="preserve"> and </w:t>
      </w:r>
      <w:r w:rsidR="00A10662">
        <w:rPr>
          <w:bCs/>
          <w:iCs/>
        </w:rPr>
        <w:t xml:space="preserve">the University </w:t>
      </w:r>
      <w:r w:rsidRPr="008C421E">
        <w:rPr>
          <w:bCs/>
          <w:iCs/>
        </w:rPr>
        <w:t>Police</w:t>
      </w:r>
      <w:r w:rsidR="00A10662">
        <w:rPr>
          <w:bCs/>
          <w:iCs/>
        </w:rPr>
        <w:t xml:space="preserve"> Department</w:t>
      </w:r>
      <w:r w:rsidRPr="008C421E">
        <w:rPr>
          <w:bCs/>
          <w:iCs/>
        </w:rPr>
        <w:t xml:space="preserve"> immediately.  A new request should be submitted requesting reimbursement of the fund which includes the following:</w:t>
      </w:r>
    </w:p>
    <w:p w:rsidR="008C421E" w:rsidRPr="008C421E" w:rsidRDefault="00A10662" w:rsidP="00A10662">
      <w:pPr>
        <w:spacing w:after="0"/>
        <w:rPr>
          <w:bCs/>
          <w:iCs/>
        </w:rPr>
      </w:pPr>
      <w:r>
        <w:rPr>
          <w:bCs/>
          <w:iCs/>
        </w:rPr>
        <w:t>•Date and time of theft</w:t>
      </w:r>
    </w:p>
    <w:p w:rsidR="008C421E" w:rsidRPr="008C421E" w:rsidRDefault="00A10662" w:rsidP="00A10662">
      <w:pPr>
        <w:spacing w:after="0"/>
        <w:rPr>
          <w:bCs/>
          <w:iCs/>
        </w:rPr>
      </w:pPr>
      <w:r>
        <w:rPr>
          <w:bCs/>
          <w:iCs/>
        </w:rPr>
        <w:t>•Amount of theft</w:t>
      </w:r>
    </w:p>
    <w:p w:rsidR="008C421E" w:rsidRPr="008C421E" w:rsidRDefault="00A10662" w:rsidP="00A10662">
      <w:pPr>
        <w:spacing w:after="0"/>
        <w:rPr>
          <w:bCs/>
          <w:iCs/>
        </w:rPr>
      </w:pPr>
      <w:r>
        <w:rPr>
          <w:bCs/>
          <w:iCs/>
        </w:rPr>
        <w:t>•Circumstances involved</w:t>
      </w:r>
    </w:p>
    <w:p w:rsidR="008C421E" w:rsidRPr="008C421E" w:rsidRDefault="00A10662" w:rsidP="00A10662">
      <w:pPr>
        <w:spacing w:after="0"/>
        <w:rPr>
          <w:bCs/>
          <w:iCs/>
        </w:rPr>
      </w:pPr>
      <w:r>
        <w:rPr>
          <w:bCs/>
          <w:iCs/>
        </w:rPr>
        <w:t>•Copy of police report</w:t>
      </w:r>
    </w:p>
    <w:p w:rsidR="008C421E" w:rsidRDefault="008C421E" w:rsidP="008C421E">
      <w:pPr>
        <w:rPr>
          <w:bCs/>
          <w:iCs/>
        </w:rPr>
      </w:pPr>
      <w:r w:rsidRPr="008C421E">
        <w:rPr>
          <w:bCs/>
          <w:iCs/>
        </w:rPr>
        <w:t xml:space="preserve">•Prevention </w:t>
      </w:r>
      <w:r w:rsidR="00211FCC">
        <w:rPr>
          <w:bCs/>
          <w:iCs/>
        </w:rPr>
        <w:t xml:space="preserve">measures </w:t>
      </w:r>
      <w:r w:rsidRPr="008C421E">
        <w:rPr>
          <w:bCs/>
          <w:iCs/>
        </w:rPr>
        <w:t xml:space="preserve">taken </w:t>
      </w:r>
      <w:r w:rsidR="00211FCC">
        <w:rPr>
          <w:bCs/>
          <w:iCs/>
        </w:rPr>
        <w:t>to mitigate future occurrences of theft.</w:t>
      </w:r>
    </w:p>
    <w:p w:rsidR="008C421E" w:rsidRDefault="008C421E" w:rsidP="008C421E">
      <w:pPr>
        <w:rPr>
          <w:bCs/>
          <w:iCs/>
        </w:rPr>
      </w:pPr>
    </w:p>
    <w:p w:rsidR="008C421E" w:rsidRDefault="008C421E" w:rsidP="008C421E">
      <w:pPr>
        <w:rPr>
          <w:bCs/>
          <w:iCs/>
        </w:rPr>
      </w:pPr>
      <w:r>
        <w:rPr>
          <w:bCs/>
          <w:iCs/>
        </w:rPr>
        <w:t>References:</w:t>
      </w:r>
    </w:p>
    <w:p w:rsidR="008C421E" w:rsidRDefault="008C421E" w:rsidP="008C421E">
      <w:r>
        <w:rPr>
          <w:bCs/>
          <w:iCs/>
        </w:rPr>
        <w:t xml:space="preserve">-Integrated CSU Administrative Manual, Policy Number </w:t>
      </w:r>
      <w:r w:rsidR="00A10662">
        <w:rPr>
          <w:bCs/>
          <w:iCs/>
        </w:rPr>
        <w:t>6320.00</w:t>
      </w:r>
      <w:r w:rsidRPr="008C421E">
        <w:t xml:space="preserve"> </w:t>
      </w:r>
      <w:r>
        <w:t xml:space="preserve">    </w:t>
      </w:r>
    </w:p>
    <w:p w:rsidR="00A10662" w:rsidRDefault="00A10662" w:rsidP="008C421E">
      <w:r>
        <w:tab/>
      </w:r>
      <w:hyperlink r:id="rId12" w:history="1">
        <w:r w:rsidRPr="005848DA">
          <w:rPr>
            <w:rStyle w:val="Hyperlink"/>
          </w:rPr>
          <w:t>https://csyou.calstate.edu/Policies/icsuam/Pages/Section-6000.aspx</w:t>
        </w:r>
      </w:hyperlink>
    </w:p>
    <w:p w:rsidR="00BC6616" w:rsidRDefault="00F31D90" w:rsidP="008C421E">
      <w:pPr>
        <w:rPr>
          <w:bCs/>
          <w:iCs/>
        </w:rPr>
      </w:pPr>
      <w:r>
        <w:rPr>
          <w:bCs/>
          <w:iCs/>
        </w:rPr>
        <w:t>-State Administrative Manual, Section 8111</w:t>
      </w:r>
    </w:p>
    <w:p w:rsidR="00F31D90" w:rsidRDefault="000A24C9" w:rsidP="00F31D90">
      <w:pPr>
        <w:ind w:firstLine="720"/>
        <w:rPr>
          <w:bCs/>
          <w:iCs/>
        </w:rPr>
      </w:pPr>
      <w:hyperlink r:id="rId13" w:history="1">
        <w:r w:rsidR="00F31D90" w:rsidRPr="002B4BA2">
          <w:rPr>
            <w:rStyle w:val="Hyperlink"/>
            <w:bCs/>
            <w:iCs/>
          </w:rPr>
          <w:t>http://sam.dgs.ca.gov/TOC/8100/SamPrint.htm</w:t>
        </w:r>
      </w:hyperlink>
    </w:p>
    <w:p w:rsidR="00F31D90" w:rsidRDefault="00F31D90" w:rsidP="008C421E">
      <w:pPr>
        <w:rPr>
          <w:bCs/>
          <w:iCs/>
        </w:rPr>
      </w:pPr>
    </w:p>
    <w:p w:rsidR="008C421E" w:rsidRPr="00D56EFB" w:rsidRDefault="008C421E" w:rsidP="008C421E">
      <w:pPr>
        <w:rPr>
          <w:bCs/>
          <w:iCs/>
        </w:rPr>
      </w:pPr>
    </w:p>
    <w:sectPr w:rsidR="008C421E" w:rsidRPr="00D56EFB" w:rsidSect="00D3597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C9" w:rsidRDefault="000A24C9" w:rsidP="008C421E">
      <w:pPr>
        <w:spacing w:after="0" w:line="240" w:lineRule="auto"/>
      </w:pPr>
      <w:r>
        <w:separator/>
      </w:r>
    </w:p>
  </w:endnote>
  <w:endnote w:type="continuationSeparator" w:id="0">
    <w:p w:rsidR="000A24C9" w:rsidRDefault="000A24C9" w:rsidP="008C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F2" w:rsidRDefault="00C060ED">
    <w:pPr>
      <w:pStyle w:val="Footer"/>
    </w:pPr>
    <w:r>
      <w:t>Updated July 2018</w:t>
    </w:r>
  </w:p>
  <w:p w:rsidR="008C421E" w:rsidRDefault="008C421E" w:rsidP="008C42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C9" w:rsidRDefault="000A24C9" w:rsidP="008C421E">
      <w:pPr>
        <w:spacing w:after="0" w:line="240" w:lineRule="auto"/>
      </w:pPr>
      <w:r>
        <w:separator/>
      </w:r>
    </w:p>
  </w:footnote>
  <w:footnote w:type="continuationSeparator" w:id="0">
    <w:p w:rsidR="000A24C9" w:rsidRDefault="000A24C9" w:rsidP="008C4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01CA7"/>
    <w:multiLevelType w:val="hybridMultilevel"/>
    <w:tmpl w:val="E664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0D"/>
    <w:rsid w:val="000103B2"/>
    <w:rsid w:val="00081CF4"/>
    <w:rsid w:val="000A24C9"/>
    <w:rsid w:val="001050F2"/>
    <w:rsid w:val="001523E8"/>
    <w:rsid w:val="00184D82"/>
    <w:rsid w:val="00195B00"/>
    <w:rsid w:val="001D0DE8"/>
    <w:rsid w:val="00211FCC"/>
    <w:rsid w:val="00240E05"/>
    <w:rsid w:val="002A439E"/>
    <w:rsid w:val="002B5A39"/>
    <w:rsid w:val="0035017B"/>
    <w:rsid w:val="003A479B"/>
    <w:rsid w:val="003C6F11"/>
    <w:rsid w:val="0041660D"/>
    <w:rsid w:val="00424A54"/>
    <w:rsid w:val="0042506A"/>
    <w:rsid w:val="00431C2B"/>
    <w:rsid w:val="004B1E8F"/>
    <w:rsid w:val="004C59C5"/>
    <w:rsid w:val="004E1239"/>
    <w:rsid w:val="004E731F"/>
    <w:rsid w:val="00502FE8"/>
    <w:rsid w:val="00527A0B"/>
    <w:rsid w:val="005F225D"/>
    <w:rsid w:val="00635B60"/>
    <w:rsid w:val="00687A99"/>
    <w:rsid w:val="00707D18"/>
    <w:rsid w:val="007117A3"/>
    <w:rsid w:val="00803C8C"/>
    <w:rsid w:val="00813A07"/>
    <w:rsid w:val="00820A1B"/>
    <w:rsid w:val="0087431B"/>
    <w:rsid w:val="00885590"/>
    <w:rsid w:val="008C421E"/>
    <w:rsid w:val="008D6A26"/>
    <w:rsid w:val="008E199B"/>
    <w:rsid w:val="0091499E"/>
    <w:rsid w:val="009366AA"/>
    <w:rsid w:val="00963262"/>
    <w:rsid w:val="0097081A"/>
    <w:rsid w:val="00A10662"/>
    <w:rsid w:val="00B72EC6"/>
    <w:rsid w:val="00BB115B"/>
    <w:rsid w:val="00BB2840"/>
    <w:rsid w:val="00BC6616"/>
    <w:rsid w:val="00BF0904"/>
    <w:rsid w:val="00C060ED"/>
    <w:rsid w:val="00CA3C7A"/>
    <w:rsid w:val="00D159FC"/>
    <w:rsid w:val="00D35975"/>
    <w:rsid w:val="00D56EFB"/>
    <w:rsid w:val="00E14D14"/>
    <w:rsid w:val="00E26AE4"/>
    <w:rsid w:val="00E461DE"/>
    <w:rsid w:val="00E85517"/>
    <w:rsid w:val="00EA642B"/>
    <w:rsid w:val="00EF5208"/>
    <w:rsid w:val="00F06098"/>
    <w:rsid w:val="00F31D90"/>
    <w:rsid w:val="00F64C25"/>
    <w:rsid w:val="00F96E46"/>
    <w:rsid w:val="00F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B2AB9-870F-43FD-A1D7-92F3AF2F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32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21E"/>
  </w:style>
  <w:style w:type="paragraph" w:styleId="Footer">
    <w:name w:val="footer"/>
    <w:basedOn w:val="Normal"/>
    <w:link w:val="FooterChar"/>
    <w:uiPriority w:val="99"/>
    <w:unhideWhenUsed/>
    <w:rsid w:val="008C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21E"/>
  </w:style>
  <w:style w:type="paragraph" w:styleId="ListParagraph">
    <w:name w:val="List Paragraph"/>
    <w:basedOn w:val="Normal"/>
    <w:uiPriority w:val="34"/>
    <w:qFormat/>
    <w:rsid w:val="00C0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F142B"/>
            <w:right w:val="none" w:sz="0" w:space="0" w:color="auto"/>
          </w:divBdr>
          <w:divsChild>
            <w:div w:id="10995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F142B"/>
            <w:right w:val="none" w:sz="0" w:space="0" w:color="auto"/>
          </w:divBdr>
          <w:divsChild>
            <w:div w:id="16903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F142B"/>
            <w:right w:val="none" w:sz="0" w:space="0" w:color="auto"/>
          </w:divBdr>
          <w:divsChild>
            <w:div w:id="14004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sam.dgs.ca.gov/TOC/8100/SamPrin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mboldt.edu/" TargetMode="External"/><Relationship Id="rId12" Type="http://schemas.openxmlformats.org/officeDocument/2006/relationships/hyperlink" Target="https://csyou.calstate.edu/Policies/icsuam/Pages/Section-6000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humboldt.ed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curement.humboldt.edu/purchasing-payment-methods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humboldt.edu/~humboldt/mailings/provost/provostmay09cic/hsumark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ejk23</dc:creator>
  <cp:lastModifiedBy>Glenda K Rotherham</cp:lastModifiedBy>
  <cp:revision>2</cp:revision>
  <cp:lastPrinted>2009-06-30T17:02:00Z</cp:lastPrinted>
  <dcterms:created xsi:type="dcterms:W3CDTF">2019-04-30T16:07:00Z</dcterms:created>
  <dcterms:modified xsi:type="dcterms:W3CDTF">2019-04-30T16:07:00Z</dcterms:modified>
</cp:coreProperties>
</file>